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ADD" w:rsidRDefault="00FD18E7">
      <w:pPr>
        <w:pStyle w:val="a7"/>
        <w:spacing w:before="180" w:line="400" w:lineRule="exact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附件四</w:t>
      </w:r>
    </w:p>
    <w:p w:rsidR="005B5ADD" w:rsidRDefault="00FD18E7">
      <w:pPr>
        <w:pStyle w:val="a7"/>
        <w:suppressAutoHyphens w:val="0"/>
        <w:spacing w:line="500" w:lineRule="exact"/>
        <w:jc w:val="center"/>
        <w:textAlignment w:val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新北市政府公有文化資產管理維護情形評核</w:t>
      </w:r>
    </w:p>
    <w:p w:rsidR="005B5ADD" w:rsidRDefault="00FD18E7">
      <w:pPr>
        <w:pStyle w:val="a7"/>
        <w:suppressAutoHyphens w:val="0"/>
        <w:spacing w:after="183" w:line="500" w:lineRule="exact"/>
        <w:jc w:val="center"/>
        <w:textAlignment w:val="auto"/>
      </w:pPr>
      <w:r>
        <w:rPr>
          <w:b/>
          <w:bCs/>
          <w:sz w:val="36"/>
          <w:szCs w:val="36"/>
        </w:rPr>
        <w:t>租金減免比率級距表</w:t>
      </w: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B5ADD" w:rsidRDefault="00FD18E7" w:rsidP="00A6198A">
      <w:pPr>
        <w:pStyle w:val="a7"/>
        <w:spacing w:before="156" w:after="156" w:line="460" w:lineRule="exact"/>
        <w:ind w:left="105" w:right="105"/>
      </w:pPr>
      <w:r>
        <w:rPr>
          <w:rFonts w:ascii="SimHei" w:eastAsia="SimHei" w:hAnsi="SimHei"/>
          <w:b/>
          <w:sz w:val="28"/>
          <w:szCs w:val="28"/>
        </w:rPr>
        <w:t>【</w:t>
      </w:r>
      <w:r>
        <w:rPr>
          <w:b/>
          <w:sz w:val="28"/>
          <w:szCs w:val="28"/>
        </w:rPr>
        <w:t>辦理依據</w:t>
      </w:r>
      <w:r>
        <w:rPr>
          <w:rFonts w:ascii="SimHei" w:eastAsia="SimHei" w:hAnsi="SimHei"/>
          <w:b/>
          <w:sz w:val="28"/>
          <w:szCs w:val="28"/>
        </w:rPr>
        <w:t>】</w:t>
      </w:r>
    </w:p>
    <w:p w:rsidR="00D04F87" w:rsidRDefault="00FD18E7" w:rsidP="00A6198A">
      <w:pPr>
        <w:pStyle w:val="ac"/>
        <w:numPr>
          <w:ilvl w:val="0"/>
          <w:numId w:val="1"/>
        </w:numPr>
        <w:spacing w:before="156" w:after="156" w:line="460" w:lineRule="exact"/>
        <w:ind w:left="105" w:right="105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出資修復公有文化資產租金減免辦法第二條第一項</w:t>
      </w:r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「承租並出資修復本</w:t>
      </w:r>
    </w:p>
    <w:p w:rsidR="00D04F87" w:rsidRDefault="00D04F87" w:rsidP="00D04F87">
      <w:pPr>
        <w:pStyle w:val="ac"/>
        <w:spacing w:before="156" w:after="156" w:line="460" w:lineRule="exact"/>
        <w:ind w:left="105" w:right="1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 xml:space="preserve">      </w:t>
      </w:r>
      <w:r w:rsidR="00FD18E7">
        <w:rPr>
          <w:rFonts w:ascii="Times New Roman" w:hAnsi="Times New Roman"/>
          <w:bCs/>
          <w:sz w:val="28"/>
          <w:szCs w:val="28"/>
        </w:rPr>
        <w:t>法第一百零二條所定公有文化資產者，得依實際工作結算之修復及管理</w:t>
      </w:r>
    </w:p>
    <w:p w:rsidR="005B5ADD" w:rsidRDefault="00D04F87" w:rsidP="00D04F87">
      <w:pPr>
        <w:pStyle w:val="ac"/>
        <w:spacing w:before="156" w:after="156" w:line="460" w:lineRule="exact"/>
        <w:ind w:left="105" w:right="1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 xml:space="preserve">      </w:t>
      </w:r>
      <w:r w:rsidR="00FD18E7">
        <w:rPr>
          <w:rFonts w:ascii="Times New Roman" w:hAnsi="Times New Roman"/>
          <w:bCs/>
          <w:sz w:val="28"/>
          <w:szCs w:val="28"/>
        </w:rPr>
        <w:t>維護金額，計算減免租金總額。」</w:t>
      </w:r>
    </w:p>
    <w:p w:rsidR="00D04F87" w:rsidRDefault="00FD18E7" w:rsidP="00A6198A">
      <w:pPr>
        <w:pStyle w:val="ac"/>
        <w:numPr>
          <w:ilvl w:val="0"/>
          <w:numId w:val="1"/>
        </w:numPr>
        <w:spacing w:before="156" w:after="156" w:line="460" w:lineRule="exact"/>
        <w:ind w:left="105" w:right="105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出資修復公有文化資產租金減免辦法第五條第一項</w:t>
      </w:r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「主管機關應於每年</w:t>
      </w:r>
    </w:p>
    <w:p w:rsidR="00D04F87" w:rsidRDefault="00D04F87" w:rsidP="00D04F87">
      <w:pPr>
        <w:pStyle w:val="ac"/>
        <w:spacing w:before="156" w:after="156" w:line="460" w:lineRule="exact"/>
        <w:ind w:left="105" w:right="1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 xml:space="preserve">     </w:t>
      </w:r>
      <w:r w:rsidR="00FD18E7">
        <w:rPr>
          <w:rFonts w:ascii="Times New Roman" w:hAnsi="Times New Roman"/>
          <w:bCs/>
          <w:sz w:val="28"/>
          <w:szCs w:val="28"/>
        </w:rPr>
        <w:t>十一月底前依承租人之管理維護情形，核定當年度得減免租金比率，並</w:t>
      </w:r>
    </w:p>
    <w:p w:rsidR="005B5ADD" w:rsidRDefault="00D04F87" w:rsidP="00D04F87">
      <w:pPr>
        <w:pStyle w:val="ac"/>
        <w:spacing w:before="156" w:after="156" w:line="460" w:lineRule="exact"/>
        <w:ind w:left="105" w:right="10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hint="eastAsia"/>
          <w:bCs/>
          <w:sz w:val="28"/>
          <w:szCs w:val="28"/>
        </w:rPr>
        <w:t xml:space="preserve">     </w:t>
      </w:r>
      <w:r w:rsidR="00FD18E7">
        <w:rPr>
          <w:rFonts w:ascii="Times New Roman" w:hAnsi="Times New Roman"/>
          <w:bCs/>
          <w:sz w:val="28"/>
          <w:szCs w:val="28"/>
        </w:rPr>
        <w:t>通知公有文化資產管理機關。」</w:t>
      </w:r>
    </w:p>
    <w:p w:rsidR="00D04F87" w:rsidRPr="00D04F87" w:rsidRDefault="00FD18E7" w:rsidP="00A6198A">
      <w:pPr>
        <w:pStyle w:val="ac"/>
        <w:numPr>
          <w:ilvl w:val="0"/>
          <w:numId w:val="1"/>
        </w:numPr>
        <w:spacing w:before="156" w:after="156" w:line="460" w:lineRule="exact"/>
        <w:ind w:left="105" w:right="105" w:firstLine="0"/>
        <w:jc w:val="both"/>
      </w:pPr>
      <w:r>
        <w:rPr>
          <w:rFonts w:ascii="Times New Roman" w:hAnsi="Times New Roman"/>
          <w:bCs/>
          <w:sz w:val="28"/>
          <w:szCs w:val="28"/>
        </w:rPr>
        <w:t>新北市政府核定出資修復公有文化資產租金減免作業要點第七點</w:t>
      </w:r>
      <w:r>
        <w:rPr>
          <w:rFonts w:ascii="Times New Roman" w:hAnsi="Times New Roman"/>
          <w:bCs/>
          <w:sz w:val="28"/>
          <w:szCs w:val="28"/>
        </w:rPr>
        <w:t>:</w:t>
      </w:r>
      <w:r>
        <w:rPr>
          <w:rFonts w:ascii="Times New Roman" w:hAnsi="Times New Roman"/>
          <w:bCs/>
          <w:sz w:val="28"/>
          <w:szCs w:val="28"/>
        </w:rPr>
        <w:t>「</w:t>
      </w:r>
      <w:r>
        <w:rPr>
          <w:rFonts w:cs="標楷體"/>
          <w:sz w:val="28"/>
          <w:szCs w:val="28"/>
        </w:rPr>
        <w:t>本府</w:t>
      </w:r>
    </w:p>
    <w:p w:rsidR="00D04F87" w:rsidRDefault="00D04F87" w:rsidP="00D04F87">
      <w:pPr>
        <w:pStyle w:val="ac"/>
        <w:spacing w:before="156" w:after="156" w:line="460" w:lineRule="exact"/>
        <w:ind w:left="105" w:right="105"/>
        <w:jc w:val="both"/>
        <w:rPr>
          <w:rFonts w:cs="標楷體"/>
          <w:sz w:val="28"/>
          <w:szCs w:val="28"/>
        </w:rPr>
      </w:pPr>
      <w:r>
        <w:rPr>
          <w:rFonts w:cs="標楷體" w:hint="eastAsia"/>
          <w:sz w:val="28"/>
          <w:szCs w:val="28"/>
        </w:rPr>
        <w:t xml:space="preserve">   </w:t>
      </w:r>
      <w:r w:rsidR="00FD18E7">
        <w:rPr>
          <w:rFonts w:cs="標楷體"/>
          <w:sz w:val="28"/>
          <w:szCs w:val="28"/>
        </w:rPr>
        <w:t>應將管理機關初評總分以及本府複評總分，依配分權重計算加總評分後，</w:t>
      </w:r>
    </w:p>
    <w:p w:rsidR="00D04F87" w:rsidRDefault="00D04F87" w:rsidP="00D04F87">
      <w:pPr>
        <w:pStyle w:val="ac"/>
        <w:spacing w:before="156" w:after="156" w:line="460" w:lineRule="exact"/>
        <w:ind w:left="105" w:right="105"/>
        <w:jc w:val="both"/>
        <w:rPr>
          <w:rFonts w:cs="標楷體"/>
          <w:sz w:val="28"/>
          <w:szCs w:val="28"/>
        </w:rPr>
      </w:pPr>
      <w:r>
        <w:rPr>
          <w:rFonts w:cs="標楷體" w:hint="eastAsia"/>
          <w:sz w:val="28"/>
          <w:szCs w:val="28"/>
        </w:rPr>
        <w:t xml:space="preserve">   </w:t>
      </w:r>
      <w:r w:rsidR="00FD18E7">
        <w:rPr>
          <w:rFonts w:cs="標楷體"/>
          <w:sz w:val="28"/>
          <w:szCs w:val="28"/>
        </w:rPr>
        <w:t>依租金減免比率級距表(附件四)核定租金減免比率。前項配分權重規定</w:t>
      </w:r>
    </w:p>
    <w:p w:rsidR="00D04F87" w:rsidRDefault="00D04F87" w:rsidP="00D04F87">
      <w:pPr>
        <w:pStyle w:val="ac"/>
        <w:spacing w:before="156" w:after="156" w:line="460" w:lineRule="exact"/>
        <w:ind w:left="105" w:right="105"/>
        <w:jc w:val="both"/>
        <w:rPr>
          <w:rFonts w:cs="標楷體"/>
          <w:sz w:val="28"/>
          <w:szCs w:val="28"/>
        </w:rPr>
      </w:pPr>
      <w:r>
        <w:rPr>
          <w:rFonts w:cs="標楷體" w:hint="eastAsia"/>
          <w:sz w:val="28"/>
          <w:szCs w:val="28"/>
        </w:rPr>
        <w:t xml:space="preserve">   </w:t>
      </w:r>
      <w:r w:rsidR="00FD18E7">
        <w:rPr>
          <w:rFonts w:cs="標楷體"/>
          <w:sz w:val="28"/>
          <w:szCs w:val="28"/>
        </w:rPr>
        <w:t>如下: (一)管理機關初評總分:百分之五十。 (二)本府複評總分:百分</w:t>
      </w:r>
    </w:p>
    <w:p w:rsidR="005B5ADD" w:rsidRDefault="00D04F87" w:rsidP="00D04F87">
      <w:pPr>
        <w:pStyle w:val="ac"/>
        <w:spacing w:before="156" w:after="156" w:line="460" w:lineRule="exact"/>
        <w:ind w:left="105" w:right="105"/>
        <w:jc w:val="both"/>
      </w:pPr>
      <w:r>
        <w:rPr>
          <w:rFonts w:cs="標楷體" w:hint="eastAsia"/>
          <w:sz w:val="28"/>
          <w:szCs w:val="28"/>
        </w:rPr>
        <w:t xml:space="preserve">   </w:t>
      </w:r>
      <w:r w:rsidR="00FD18E7">
        <w:rPr>
          <w:rFonts w:cs="標楷體"/>
          <w:sz w:val="28"/>
          <w:szCs w:val="28"/>
        </w:rPr>
        <w:t>之五十。</w:t>
      </w:r>
      <w:r w:rsidR="00FD18E7">
        <w:rPr>
          <w:rFonts w:ascii="Times New Roman" w:hAnsi="Times New Roman"/>
          <w:bCs/>
          <w:sz w:val="28"/>
          <w:szCs w:val="28"/>
        </w:rPr>
        <w:t>」</w:t>
      </w:r>
    </w:p>
    <w:p w:rsidR="005B5ADD" w:rsidRDefault="00FD18E7" w:rsidP="00A6198A">
      <w:pPr>
        <w:pStyle w:val="a7"/>
        <w:spacing w:before="180" w:line="460" w:lineRule="exact"/>
      </w:pPr>
      <w:r>
        <w:rPr>
          <w:b/>
          <w:sz w:val="28"/>
          <w:szCs w:val="28"/>
        </w:rPr>
        <w:t>【對應比率】</w:t>
      </w:r>
      <w:r>
        <w:rPr>
          <w:rFonts w:ascii="Times New Roman" w:hAnsi="Times New Roman"/>
          <w:b/>
          <w:sz w:val="28"/>
          <w:szCs w:val="28"/>
        </w:rPr>
        <w:t>加總評分</w:t>
      </w:r>
      <w:r>
        <w:rPr>
          <w:rFonts w:ascii="Times New Roman" w:hAnsi="Times New Roman"/>
          <w:b/>
          <w:sz w:val="28"/>
          <w:szCs w:val="28"/>
        </w:rPr>
        <w:t>=</w:t>
      </w:r>
      <w:r>
        <w:rPr>
          <w:rFonts w:ascii="Times New Roman" w:hAnsi="Times New Roman"/>
          <w:b/>
          <w:sz w:val="28"/>
          <w:szCs w:val="28"/>
        </w:rPr>
        <w:t>管理機關初評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百分之五十</w:t>
      </w:r>
      <w:r>
        <w:rPr>
          <w:rFonts w:ascii="Times New Roman" w:hAnsi="Times New Roman"/>
          <w:b/>
          <w:sz w:val="28"/>
          <w:szCs w:val="28"/>
        </w:rPr>
        <w:t>)+</w:t>
      </w:r>
      <w:r>
        <w:rPr>
          <w:rFonts w:ascii="Times New Roman" w:hAnsi="Times New Roman"/>
          <w:b/>
          <w:sz w:val="28"/>
          <w:szCs w:val="28"/>
        </w:rPr>
        <w:t>新北市政府複評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百分之五十</w:t>
      </w:r>
      <w:r>
        <w:rPr>
          <w:rFonts w:ascii="Times New Roman" w:hAnsi="Times New Roman"/>
          <w:b/>
          <w:sz w:val="28"/>
          <w:szCs w:val="28"/>
        </w:rPr>
        <w:t>)</w:t>
      </w:r>
    </w:p>
    <w:tbl>
      <w:tblPr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885"/>
        <w:gridCol w:w="4886"/>
      </w:tblGrid>
      <w:tr w:rsidR="005B5ADD" w:rsidTr="00A6198A">
        <w:trPr>
          <w:trHeight w:val="629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加總評分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減免比率</w:t>
            </w:r>
          </w:p>
        </w:tc>
      </w:tr>
      <w:tr w:rsidR="005B5ADD" w:rsidTr="00BF3D95">
        <w:trPr>
          <w:trHeight w:val="76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九十至一百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百分之百</w:t>
            </w:r>
          </w:p>
        </w:tc>
      </w:tr>
      <w:tr w:rsidR="005B5ADD" w:rsidTr="00BF3D95">
        <w:trPr>
          <w:trHeight w:val="76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八十至八十九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百分之八十</w:t>
            </w:r>
          </w:p>
        </w:tc>
      </w:tr>
      <w:tr w:rsidR="005B5ADD" w:rsidTr="00BF3D95">
        <w:trPr>
          <w:trHeight w:val="76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七十至七十九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百分之六十</w:t>
            </w:r>
          </w:p>
        </w:tc>
      </w:tr>
      <w:tr w:rsidR="005B5ADD" w:rsidTr="00BF3D95">
        <w:trPr>
          <w:trHeight w:val="76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六十至六十九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百分之四十</w:t>
            </w:r>
          </w:p>
        </w:tc>
      </w:tr>
      <w:tr w:rsidR="005B5ADD" w:rsidTr="00BF3D95">
        <w:trPr>
          <w:trHeight w:val="761"/>
        </w:trPr>
        <w:tc>
          <w:tcPr>
            <w:tcW w:w="4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六十分以下</w:t>
            </w:r>
          </w:p>
        </w:tc>
        <w:tc>
          <w:tcPr>
            <w:tcW w:w="4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5ADD" w:rsidRDefault="00FD18E7">
            <w:pPr>
              <w:pStyle w:val="a7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零</w:t>
            </w:r>
          </w:p>
        </w:tc>
      </w:tr>
    </w:tbl>
    <w:p w:rsidR="005B5ADD" w:rsidRDefault="005B5ADD" w:rsidP="00D04F87">
      <w:pPr>
        <w:pStyle w:val="a7"/>
        <w:rPr>
          <w:rFonts w:ascii="Wingdings" w:eastAsia="Wingdings" w:hAnsi="Wingdings" w:cs="Wingdings"/>
        </w:rPr>
      </w:pPr>
      <w:bookmarkStart w:id="1" w:name="__DdeLink__195_1156350444"/>
      <w:bookmarkEnd w:id="1"/>
    </w:p>
    <w:sectPr w:rsidR="005B5ADD">
      <w:pgSz w:w="11906" w:h="16838"/>
      <w:pgMar w:top="851" w:right="1276" w:bottom="567" w:left="1259" w:header="0" w:footer="0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A1F" w:rsidRDefault="00173A1F" w:rsidP="00A6198A">
      <w:r>
        <w:separator/>
      </w:r>
    </w:p>
  </w:endnote>
  <w:endnote w:type="continuationSeparator" w:id="0">
    <w:p w:rsidR="00173A1F" w:rsidRDefault="00173A1F" w:rsidP="00A61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華康中黑體">
    <w:panose1 w:val="00000000000000000000"/>
    <w:charset w:val="88"/>
    <w:family w:val="roman"/>
    <w:notTrueType/>
    <w:pitch w:val="default"/>
  </w:font>
  <w:font w:name="SimHei">
    <w:altName w:val="細明體"/>
    <w:panose1 w:val="02010600030101010101"/>
    <w:charset w:val="88"/>
    <w:family w:val="modern"/>
    <w:pitch w:val="fixed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A1F" w:rsidRDefault="00173A1F" w:rsidP="00A6198A">
      <w:r>
        <w:separator/>
      </w:r>
    </w:p>
  </w:footnote>
  <w:footnote w:type="continuationSeparator" w:id="0">
    <w:p w:rsidR="00173A1F" w:rsidRDefault="00173A1F" w:rsidP="00A61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148D8"/>
    <w:multiLevelType w:val="multilevel"/>
    <w:tmpl w:val="ACCCA2C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CA77921"/>
    <w:multiLevelType w:val="multilevel"/>
    <w:tmpl w:val="9006A9CC"/>
    <w:lvl w:ilvl="0">
      <w:start w:val="1"/>
      <w:numFmt w:val="bullet"/>
      <w:lvlText w:val="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ADD"/>
    <w:rsid w:val="000635CA"/>
    <w:rsid w:val="00173A1F"/>
    <w:rsid w:val="00197F15"/>
    <w:rsid w:val="004205D1"/>
    <w:rsid w:val="004E5E00"/>
    <w:rsid w:val="005B5ADD"/>
    <w:rsid w:val="006E0A1A"/>
    <w:rsid w:val="00742552"/>
    <w:rsid w:val="00A6198A"/>
    <w:rsid w:val="00BF3D95"/>
    <w:rsid w:val="00C2226A"/>
    <w:rsid w:val="00D04F87"/>
    <w:rsid w:val="00FD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93AFF5-8CCD-473D-A347-FE6FA764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a4">
    <w:name w:val="頁首 字元"/>
    <w:qFormat/>
    <w:rPr>
      <w:rFonts w:ascii="標楷體" w:eastAsia="標楷體" w:hAnsi="標楷體"/>
      <w:kern w:val="2"/>
    </w:rPr>
  </w:style>
  <w:style w:type="character" w:customStyle="1" w:styleId="a5">
    <w:name w:val="頁尾 字元"/>
    <w:qFormat/>
    <w:rPr>
      <w:kern w:val="2"/>
    </w:rPr>
  </w:style>
  <w:style w:type="character" w:customStyle="1" w:styleId="a6">
    <w:name w:val="註解方塊文字 字元"/>
    <w:qFormat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WWCharLFO1LVL1">
    <w:name w:val="WW_CharLFO1LVL1"/>
    <w:qFormat/>
    <w:rPr>
      <w:rFonts w:ascii="Wingdings" w:hAnsi="Wingdings"/>
    </w:rPr>
  </w:style>
  <w:style w:type="character" w:customStyle="1" w:styleId="WWCharLFO1LVL2">
    <w:name w:val="WW_CharLFO1LVL2"/>
    <w:qFormat/>
    <w:rPr>
      <w:rFonts w:ascii="Wingdings" w:hAnsi="Wingdings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Wingdings" w:hAnsi="Wingdings"/>
    </w:rPr>
  </w:style>
  <w:style w:type="character" w:customStyle="1" w:styleId="WWCharLFO1LVL5">
    <w:name w:val="WW_CharLFO1LVL5"/>
    <w:qFormat/>
    <w:rPr>
      <w:rFonts w:ascii="Wingdings" w:hAnsi="Wingdings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Wingdings" w:hAnsi="Wingdings"/>
    </w:rPr>
  </w:style>
  <w:style w:type="character" w:customStyle="1" w:styleId="WWCharLFO1LVL8">
    <w:name w:val="WW_CharLFO1LVL8"/>
    <w:qFormat/>
    <w:rPr>
      <w:rFonts w:ascii="Wingdings" w:hAnsi="Wingdings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ListLabel1">
    <w:name w:val="ListLabel 1"/>
    <w:qFormat/>
    <w:rPr>
      <w:rFonts w:ascii="標楷體" w:hAnsi="標楷體" w:cs="Times New Roman"/>
      <w:sz w:val="28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1">
    <w:name w:val="項目符號1"/>
    <w:qFormat/>
    <w:rPr>
      <w:rFonts w:ascii="OpenSymbol" w:eastAsia="OpenSymbol" w:hAnsi="OpenSymbol" w:cs="OpenSymbol"/>
    </w:rPr>
  </w:style>
  <w:style w:type="paragraph" w:styleId="a7">
    <w:name w:val="Body Text"/>
    <w:pPr>
      <w:widowControl w:val="0"/>
      <w:suppressAutoHyphens/>
    </w:pPr>
    <w:rPr>
      <w:rFonts w:ascii="標楷體" w:eastAsia="標楷體" w:hAnsi="標楷體"/>
      <w:kern w:val="2"/>
      <w:sz w:val="24"/>
    </w:rPr>
  </w:style>
  <w:style w:type="paragraph" w:customStyle="1" w:styleId="a8">
    <w:name w:val="一"/>
    <w:basedOn w:val="a7"/>
    <w:qFormat/>
    <w:pPr>
      <w:spacing w:after="50"/>
      <w:ind w:left="200" w:hanging="200"/>
    </w:pPr>
    <w:rPr>
      <w:rFonts w:ascii="Times New Roman" w:eastAsia="華康中黑體" w:hAnsi="Times New Roman"/>
      <w:bCs/>
      <w:szCs w:val="24"/>
    </w:rPr>
  </w:style>
  <w:style w:type="paragraph" w:styleId="a9">
    <w:name w:val="footer"/>
    <w:basedOn w:val="a7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sz w:val="20"/>
    </w:rPr>
  </w:style>
  <w:style w:type="paragraph" w:styleId="aa">
    <w:name w:val="header"/>
    <w:basedOn w:val="a7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b">
    <w:name w:val="Balloon Text"/>
    <w:basedOn w:val="a7"/>
    <w:qFormat/>
    <w:rPr>
      <w:rFonts w:ascii="Calibri Light" w:eastAsia="新細明體" w:hAnsi="Calibri Light"/>
      <w:sz w:val="18"/>
      <w:szCs w:val="18"/>
    </w:rPr>
  </w:style>
  <w:style w:type="paragraph" w:styleId="ac">
    <w:name w:val="List Paragraph"/>
    <w:basedOn w:val="a7"/>
    <w:qFormat/>
    <w:pPr>
      <w:ind w:left="480"/>
    </w:pPr>
  </w:style>
  <w:style w:type="paragraph" w:customStyle="1" w:styleId="ad">
    <w:name w:val="表格內容"/>
    <w:basedOn w:val="a"/>
    <w:qFormat/>
    <w:pPr>
      <w:suppressLineNumbers/>
    </w:pPr>
  </w:style>
  <w:style w:type="paragraph" w:customStyle="1" w:styleId="DocumentMap">
    <w:name w:val="DocumentMap"/>
    <w:qFormat/>
    <w:pPr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吳柏勳</dc:creator>
  <cp:lastModifiedBy>吳柏勳</cp:lastModifiedBy>
  <cp:revision>2</cp:revision>
  <dcterms:created xsi:type="dcterms:W3CDTF">2021-05-31T06:30:00Z</dcterms:created>
  <dcterms:modified xsi:type="dcterms:W3CDTF">2021-05-31T06:30:00Z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2020-11-30T01:40:00Z</dcterms:created>
  <dc:creator>ina</dc:creator>
  <dc:description/>
  <dc:language>zh-TW</dc:language>
  <cp:lastModifiedBy/>
  <cp:lastPrinted>2017-10-26T05:38:00Z</cp:lastPrinted>
  <dcterms:modified xsi:type="dcterms:W3CDTF">2021-04-06T15:49:58Z</dcterms:modified>
  <cp:revision>14</cp:revision>
  <dc:subject/>
  <dc:title>臺北市政府文化局委託辦理</dc:title>
</cp:coreProperties>
</file>